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570.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94.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учебных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основного и дополнительного образования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российской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дополнительного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Направления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организаций общего и дополнительного образования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формирования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 здорового и безопасного образа жизни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p>
            <w:pPr>
              <w:jc w:val="both"/>
              <w:spacing w:after="0" w:line="240" w:lineRule="auto"/>
              <w:rPr>
                <w:sz w:val="24"/>
                <w:szCs w:val="24"/>
              </w:rPr>
            </w:pPr>
            <w:r>
              <w:rPr>
                <w:rFonts w:ascii="Times New Roman" w:hAnsi="Times New Roman" w:cs="Times New Roman"/>
                <w:color w:val="#000000"/>
                <w:sz w:val="24"/>
                <w:szCs w:val="24"/>
              </w:rPr>
              <w:t> Структура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Проектирвоание дополнительных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духовно-нравственного развития,</w:t>
            </w:r>
          </w:p>
          <w:p>
            <w:pPr>
              <w:jc w:val="center"/>
              <w:spacing w:after="0" w:line="240" w:lineRule="auto"/>
              <w:rPr>
                <w:sz w:val="24"/>
                <w:szCs w:val="24"/>
              </w:rPr>
            </w:pPr>
            <w:r>
              <w:rPr>
                <w:rFonts w:ascii="Times New Roman" w:hAnsi="Times New Roman" w:cs="Times New Roman"/>
                <w:b/>
                <w:color w:val="#000000"/>
                <w:sz w:val="24"/>
                <w:szCs w:val="24"/>
              </w:rPr>
              <w:t> воспитания и социализации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духовно-нравственного развития личности гражданина России как</w:t>
            </w:r>
          </w:p>
          <w:p>
            <w:pPr>
              <w:jc w:val="both"/>
              <w:spacing w:after="0" w:line="240" w:lineRule="auto"/>
              <w:rPr>
                <w:sz w:val="24"/>
                <w:szCs w:val="24"/>
              </w:rPr>
            </w:pPr>
            <w:r>
              <w:rPr>
                <w:rFonts w:ascii="Times New Roman" w:hAnsi="Times New Roman" w:cs="Times New Roman"/>
                <w:color w:val="#000000"/>
                <w:sz w:val="24"/>
                <w:szCs w:val="24"/>
              </w:rPr>
              <w:t> идеологическая основа ФГОС.</w:t>
            </w:r>
          </w:p>
          <w:p>
            <w:pPr>
              <w:jc w:val="both"/>
              <w:spacing w:after="0" w:line="240" w:lineRule="auto"/>
              <w:rPr>
                <w:sz w:val="24"/>
                <w:szCs w:val="24"/>
              </w:rPr>
            </w:pPr>
            <w:r>
              <w:rPr>
                <w:rFonts w:ascii="Times New Roman" w:hAnsi="Times New Roman" w:cs="Times New Roman"/>
                <w:color w:val="#000000"/>
                <w:sz w:val="24"/>
                <w:szCs w:val="24"/>
              </w:rPr>
              <w:t>  Содержание и структура программ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обучающихся, программ воспитания и социализации обучающихся.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оценки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освоения ООП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диагностических карт для выявления уровня сформированности</w:t>
            </w:r>
          </w:p>
          <w:p>
            <w:pPr>
              <w:jc w:val="both"/>
              <w:spacing w:after="0" w:line="240" w:lineRule="auto"/>
              <w:rPr>
                <w:sz w:val="24"/>
                <w:szCs w:val="24"/>
              </w:rPr>
            </w:pPr>
            <w:r>
              <w:rPr>
                <w:rFonts w:ascii="Times New Roman" w:hAnsi="Times New Roman" w:cs="Times New Roman"/>
                <w:color w:val="#000000"/>
                <w:sz w:val="24"/>
                <w:szCs w:val="24"/>
              </w:rPr>
              <w:t> личностных образовательных результатов.</w:t>
            </w:r>
          </w:p>
          <w:p>
            <w:pPr>
              <w:jc w:val="both"/>
              <w:spacing w:after="0" w:line="240" w:lineRule="auto"/>
              <w:rPr>
                <w:sz w:val="24"/>
                <w:szCs w:val="24"/>
              </w:rPr>
            </w:pPr>
            <w:r>
              <w:rPr>
                <w:rFonts w:ascii="Times New Roman" w:hAnsi="Times New Roman" w:cs="Times New Roman"/>
                <w:color w:val="#000000"/>
                <w:sz w:val="24"/>
                <w:szCs w:val="24"/>
              </w:rPr>
              <w:t>  Проект как средство диагностики сформированности метапредметных</w:t>
            </w:r>
          </w:p>
          <w:p>
            <w:pPr>
              <w:jc w:val="both"/>
              <w:spacing w:after="0" w:line="240" w:lineRule="auto"/>
              <w:rPr>
                <w:sz w:val="24"/>
                <w:szCs w:val="24"/>
              </w:rPr>
            </w:pPr>
            <w:r>
              <w:rPr>
                <w:rFonts w:ascii="Times New Roman" w:hAnsi="Times New Roman" w:cs="Times New Roman"/>
                <w:color w:val="#000000"/>
                <w:sz w:val="24"/>
                <w:szCs w:val="24"/>
              </w:rPr>
              <w:t>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2024-2025_ФГОС3++2024_Бак-ОФО-ПО(ГО)(24)_plx_Проектирование и разработка основных и дополнительных образовательных программ</dc:title>
  <dc:creator>FastReport.NET</dc:creator>
</cp:coreProperties>
</file>